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E74EB" w14:textId="77777777" w:rsidR="00C913A9" w:rsidRPr="00BC63E0" w:rsidRDefault="00000000">
      <w:pPr>
        <w:pStyle w:val="CustomTitle"/>
        <w:jc w:val="center"/>
        <w:rPr>
          <w:lang w:val="fr-FR"/>
        </w:rPr>
      </w:pPr>
      <w:r w:rsidRPr="00BC63E0">
        <w:rPr>
          <w:lang w:val="fr-FR"/>
        </w:rPr>
        <w:t>PERFORMANCE À LONG TERME : ÉLÉMENTS DE PREUVE</w:t>
      </w:r>
    </w:p>
    <w:p w14:paraId="44384518" w14:textId="77777777" w:rsidR="00C913A9" w:rsidRPr="00BC63E0" w:rsidRDefault="00000000">
      <w:pPr>
        <w:pStyle w:val="Sous-titre"/>
        <w:jc w:val="center"/>
        <w:rPr>
          <w:lang w:val="fr-FR"/>
        </w:rPr>
      </w:pPr>
      <w:r w:rsidRPr="00BC63E0">
        <w:rPr>
          <w:lang w:val="fr-FR"/>
        </w:rPr>
        <w:t>Mis à jour le 22 février 2026</w:t>
      </w:r>
    </w:p>
    <w:p w14:paraId="3DBF8EF3" w14:textId="4B1D5F77" w:rsidR="00C913A9" w:rsidRPr="00BC63E0" w:rsidRDefault="00000000">
      <w:pPr>
        <w:jc w:val="both"/>
        <w:rPr>
          <w:lang w:val="fr-FR"/>
        </w:rPr>
      </w:pPr>
      <w:r w:rsidRPr="00BC63E0">
        <w:rPr>
          <w:lang w:val="fr-FR"/>
        </w:rPr>
        <w:t>Depuis la fin de l’année 2017, soit plus de 8 ans (février 2026), la performance de mon portefeuille (tous types d’actions – mines d’or et épargne-retraite) s’est élevée à 402 %, dividendes inclus. Sur la même période, le CAC a progressé de 52 % et de 70 % dividendes inclus. Plus représentatif de la performance réelle des particuliers, le portefeuille moyen n’a progressé que de</w:t>
      </w:r>
      <w:r w:rsidR="00BC63E0">
        <w:rPr>
          <w:lang w:val="fr-FR"/>
        </w:rPr>
        <w:t xml:space="preserve"> </w:t>
      </w:r>
      <w:r w:rsidRPr="00BC63E0">
        <w:rPr>
          <w:lang w:val="fr-FR"/>
        </w:rPr>
        <w:t>20</w:t>
      </w:r>
      <w:r w:rsidR="00BC63E0">
        <w:rPr>
          <w:lang w:val="fr-FR"/>
        </w:rPr>
        <w:t>%</w:t>
      </w:r>
      <w:r w:rsidRPr="00BC63E0">
        <w:rPr>
          <w:lang w:val="fr-FR"/>
        </w:rPr>
        <w:t xml:space="preserve"> sur</w:t>
      </w:r>
      <w:r w:rsidR="00BC63E0">
        <w:rPr>
          <w:lang w:val="fr-FR"/>
        </w:rPr>
        <w:t xml:space="preserve"> </w:t>
      </w:r>
      <w:r w:rsidRPr="00BC63E0">
        <w:rPr>
          <w:lang w:val="fr-FR"/>
        </w:rPr>
        <w:t>les 7 dernières années (rendement annuel moyen de 2,7 %, source : Observatoire de l’Épargne Européenne – OEE).</w:t>
      </w:r>
      <w:r w:rsidRPr="00BC63E0">
        <w:rPr>
          <w:lang w:val="fr-FR"/>
        </w:rPr>
        <w:br/>
      </w:r>
      <w:r w:rsidRPr="00BC63E0">
        <w:rPr>
          <w:lang w:val="fr-FR"/>
        </w:rPr>
        <w:br/>
        <w:t xml:space="preserve">En effet, la performance annuelle moyenne sur 10 ans de l’épargne financière des ménages s’est établie à 2,9 % entre 2013 et 2025. La composante actions (par opposition aux obligations et aux instruments de court terme) de cette épargne, soit environ 20 % du total et donc 80 % pour les produits de taux, a progressé d’environ 5 % par an, soit 50 % en cumulé, très en deçà de la performance du CAC sur la même période. L’étude de l’OEE, observatoire européen de l’épargne, peut être consultée au </w:t>
      </w:r>
      <w:hyperlink r:id="rId6">
        <w:r w:rsidRPr="00BC63E0">
          <w:rPr>
            <w:color w:val="0563C1"/>
            <w:u w:val="single"/>
            <w:lang w:val="fr-FR"/>
          </w:rPr>
          <w:t>lien suivant</w:t>
        </w:r>
      </w:hyperlink>
      <w:r w:rsidRPr="00BC63E0">
        <w:rPr>
          <w:lang w:val="fr-FR"/>
        </w:rPr>
        <w:t>.</w:t>
      </w:r>
    </w:p>
    <w:p w14:paraId="78DBC2F6" w14:textId="77777777" w:rsidR="00C913A9" w:rsidRPr="00BC63E0" w:rsidRDefault="00000000">
      <w:pPr>
        <w:jc w:val="both"/>
        <w:rPr>
          <w:lang w:val="fr-FR"/>
        </w:rPr>
      </w:pPr>
      <w:r w:rsidRPr="00BC63E0">
        <w:rPr>
          <w:lang w:val="fr-FR"/>
        </w:rPr>
        <w:t>Cette surperformance très significative de mon portefeuille a été obtenue en investissant fin 2017 un montant représentant près de 30 % de sa valeur totale (mines d’or + épargne-retraite) dans des mines d’or sud-africaines. Mes modèles statistiques recommandaient alors un investissement dans ce secteur, qui était fortement sous-valorisé. Ce pari mûrement réfléchi s’est révélé tout à fait juste.</w:t>
      </w:r>
    </w:p>
    <w:p w14:paraId="21D34A89" w14:textId="77777777" w:rsidR="00C913A9" w:rsidRPr="00BC63E0" w:rsidRDefault="00000000">
      <w:pPr>
        <w:jc w:val="both"/>
        <w:rPr>
          <w:lang w:val="fr-FR"/>
        </w:rPr>
      </w:pPr>
      <w:r w:rsidRPr="00BC63E0">
        <w:rPr>
          <w:lang w:val="fr-FR"/>
        </w:rPr>
        <w:t>À la fin de l’année 2017, mon portefeuille pouvait être divisé en deux parties : la composante mines d’or et la composante épargne-retraite.</w:t>
      </w:r>
    </w:p>
    <w:p w14:paraId="41DF244A" w14:textId="77777777" w:rsidR="00C913A9" w:rsidRPr="00BC63E0" w:rsidRDefault="00000000">
      <w:pPr>
        <w:pStyle w:val="Titre1"/>
        <w:rPr>
          <w:lang w:val="fr-FR"/>
        </w:rPr>
      </w:pPr>
      <w:r w:rsidRPr="00BC63E0">
        <w:rPr>
          <w:lang w:val="fr-FR"/>
        </w:rPr>
        <w:t>Composante actions de mines d’or</w:t>
      </w:r>
    </w:p>
    <w:p w14:paraId="134B4AEE" w14:textId="77777777" w:rsidR="00BC63E0" w:rsidRDefault="00BC63E0">
      <w:pPr>
        <w:jc w:val="both"/>
        <w:rPr>
          <w:lang w:val="fr-FR"/>
        </w:rPr>
      </w:pPr>
    </w:p>
    <w:p w14:paraId="287FFF67" w14:textId="01B8380F" w:rsidR="00C913A9" w:rsidRPr="00BC63E0" w:rsidRDefault="00000000">
      <w:pPr>
        <w:jc w:val="both"/>
        <w:rPr>
          <w:lang w:val="fr-FR"/>
        </w:rPr>
      </w:pPr>
      <w:r w:rsidRPr="00BC63E0">
        <w:rPr>
          <w:lang w:val="fr-FR"/>
        </w:rPr>
        <w:t>Mon investissement dans les mines d’or s’élevait à 109 000 euros fin décembre 2017, à la suite d’achats réalisés en novembre et décembre 2017. Compte tenu de la hausse des cours (voir ci-dessous), sa valeur au 20 février 2026 atteint 904 581 €, y compris les importants dividendes perçus au cours des 8 dernières années, soit une progression de 729 %. Le CAC, dividendes inclus, a progressé de 70 % sur la même période, soit environ 10 fois moins.</w:t>
      </w:r>
    </w:p>
    <w:p w14:paraId="5175E80F" w14:textId="77777777" w:rsidR="00C913A9" w:rsidRDefault="00000000">
      <w:pPr>
        <w:spacing w:after="200"/>
        <w:jc w:val="center"/>
      </w:pPr>
      <w:r>
        <w:rPr>
          <w:noProof/>
        </w:rPr>
        <w:lastRenderedPageBreak/>
        <w:drawing>
          <wp:inline distT="0" distB="0" distL="0" distR="0" wp14:anchorId="23067154" wp14:editId="49365D6F">
            <wp:extent cx="4480560" cy="48554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png"/>
                    <pic:cNvPicPr/>
                  </pic:nvPicPr>
                  <pic:blipFill>
                    <a:blip r:embed="rId7"/>
                    <a:stretch>
                      <a:fillRect/>
                    </a:stretch>
                  </pic:blipFill>
                  <pic:spPr>
                    <a:xfrm>
                      <a:off x="0" y="0"/>
                      <a:ext cx="4480560" cy="4855428"/>
                    </a:xfrm>
                    <a:prstGeom prst="rect">
                      <a:avLst/>
                    </a:prstGeom>
                  </pic:spPr>
                </pic:pic>
              </a:graphicData>
            </a:graphic>
          </wp:inline>
        </w:drawing>
      </w:r>
    </w:p>
    <w:p w14:paraId="335478E4" w14:textId="77777777" w:rsidR="00C913A9" w:rsidRPr="00BC63E0" w:rsidRDefault="00000000">
      <w:pPr>
        <w:pStyle w:val="Titre2"/>
        <w:rPr>
          <w:lang w:val="fr-FR"/>
        </w:rPr>
      </w:pPr>
      <w:r w:rsidRPr="00BC63E0">
        <w:rPr>
          <w:lang w:val="fr-FR"/>
        </w:rPr>
        <w:t>Acquisition d’actions de mines d’or fin 2017</w:t>
      </w:r>
    </w:p>
    <w:p w14:paraId="4E893B64" w14:textId="77777777" w:rsidR="00BC63E0" w:rsidRDefault="00BC63E0">
      <w:pPr>
        <w:jc w:val="both"/>
        <w:rPr>
          <w:lang w:val="fr-FR"/>
        </w:rPr>
      </w:pPr>
    </w:p>
    <w:p w14:paraId="4AAE9CD1" w14:textId="095CF755" w:rsidR="00C913A9" w:rsidRDefault="00000000">
      <w:pPr>
        <w:jc w:val="both"/>
      </w:pPr>
      <w:r w:rsidRPr="00BC63E0">
        <w:rPr>
          <w:lang w:val="fr-FR"/>
        </w:rPr>
        <w:t xml:space="preserve">La preuve des achats de mines d’or fin 2017 figure ci-dessous (capture d’écran de notre compte chez </w:t>
      </w:r>
      <w:proofErr w:type="spellStart"/>
      <w:r w:rsidRPr="00BC63E0">
        <w:rPr>
          <w:lang w:val="fr-FR"/>
        </w:rPr>
        <w:t>Milleis</w:t>
      </w:r>
      <w:proofErr w:type="spellEnd"/>
      <w:r w:rsidRPr="00BC63E0">
        <w:rPr>
          <w:lang w:val="fr-FR"/>
        </w:rPr>
        <w:t xml:space="preserve">, banque française). À titre d’exemple, le 22 décembre 2017, 4 500 actions Harmony Gold Mining ont été achetées au prix unitaire de 1,48 €. </w:t>
      </w:r>
      <w:proofErr w:type="spellStart"/>
      <w:r>
        <w:t>L’action</w:t>
      </w:r>
      <w:proofErr w:type="spellEnd"/>
      <w:r>
        <w:t xml:space="preserve"> Harmony Gold cote actuellement 17,80 €, soit une hausse de 1 100 %.</w:t>
      </w:r>
    </w:p>
    <w:p w14:paraId="0BE91F28" w14:textId="77777777" w:rsidR="00BC63E0" w:rsidRDefault="00BC63E0">
      <w:pPr>
        <w:jc w:val="both"/>
      </w:pPr>
    </w:p>
    <w:p w14:paraId="27C2DD89" w14:textId="77777777" w:rsidR="00C913A9" w:rsidRDefault="00000000">
      <w:pPr>
        <w:spacing w:after="200"/>
        <w:jc w:val="center"/>
      </w:pPr>
      <w:r>
        <w:rPr>
          <w:noProof/>
        </w:rPr>
        <w:drawing>
          <wp:inline distT="0" distB="0" distL="0" distR="0" wp14:anchorId="45AB54D3" wp14:editId="43AF6C6D">
            <wp:extent cx="7390130" cy="4360459"/>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png"/>
                    <pic:cNvPicPr/>
                  </pic:nvPicPr>
                  <pic:blipFill>
                    <a:blip r:embed="rId8"/>
                    <a:stretch>
                      <a:fillRect/>
                    </a:stretch>
                  </pic:blipFill>
                  <pic:spPr>
                    <a:xfrm>
                      <a:off x="0" y="0"/>
                      <a:ext cx="7402454" cy="4367731"/>
                    </a:xfrm>
                    <a:prstGeom prst="rect">
                      <a:avLst/>
                    </a:prstGeom>
                  </pic:spPr>
                </pic:pic>
              </a:graphicData>
            </a:graphic>
          </wp:inline>
        </w:drawing>
      </w:r>
    </w:p>
    <w:p w14:paraId="79B9A1EA" w14:textId="77777777" w:rsidR="00C913A9" w:rsidRDefault="00000000">
      <w:pPr>
        <w:spacing w:after="200"/>
        <w:jc w:val="center"/>
      </w:pPr>
      <w:r>
        <w:rPr>
          <w:noProof/>
        </w:rPr>
        <w:drawing>
          <wp:inline distT="0" distB="0" distL="0" distR="0" wp14:anchorId="6F304FFF" wp14:editId="1E0AD82D">
            <wp:extent cx="7383145" cy="3991970"/>
            <wp:effectExtent l="0" t="0" r="825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png"/>
                    <pic:cNvPicPr/>
                  </pic:nvPicPr>
                  <pic:blipFill>
                    <a:blip r:embed="rId9"/>
                    <a:stretch>
                      <a:fillRect/>
                    </a:stretch>
                  </pic:blipFill>
                  <pic:spPr>
                    <a:xfrm>
                      <a:off x="0" y="0"/>
                      <a:ext cx="7396228" cy="3999044"/>
                    </a:xfrm>
                    <a:prstGeom prst="rect">
                      <a:avLst/>
                    </a:prstGeom>
                  </pic:spPr>
                </pic:pic>
              </a:graphicData>
            </a:graphic>
          </wp:inline>
        </w:drawing>
      </w:r>
    </w:p>
    <w:p w14:paraId="188A40F3" w14:textId="77777777" w:rsidR="002D1EDB" w:rsidRDefault="002D1EDB">
      <w:pPr>
        <w:spacing w:after="200"/>
        <w:jc w:val="center"/>
      </w:pPr>
    </w:p>
    <w:p w14:paraId="61858358" w14:textId="77777777" w:rsidR="00C913A9" w:rsidRPr="00BC63E0" w:rsidRDefault="00000000">
      <w:pPr>
        <w:pStyle w:val="Titre2"/>
        <w:rPr>
          <w:lang w:val="fr-FR"/>
        </w:rPr>
      </w:pPr>
      <w:r w:rsidRPr="00BC63E0">
        <w:rPr>
          <w:lang w:val="fr-FR"/>
        </w:rPr>
        <w:t>Vente de titres en septembre et fin novembre 2025</w:t>
      </w:r>
    </w:p>
    <w:p w14:paraId="5A0CB231" w14:textId="77777777" w:rsidR="00C913A9" w:rsidRPr="00BC63E0" w:rsidRDefault="00000000">
      <w:pPr>
        <w:jc w:val="both"/>
        <w:rPr>
          <w:lang w:val="fr-FR"/>
        </w:rPr>
      </w:pPr>
      <w:r w:rsidRPr="00BC63E0">
        <w:rPr>
          <w:lang w:val="fr-FR"/>
        </w:rPr>
        <w:t>J’ai décidé de transformer en liquidités une partie des plus-values latentes en septembre et en novembre 2025.</w:t>
      </w:r>
    </w:p>
    <w:p w14:paraId="341CD8DE" w14:textId="77777777" w:rsidR="00C913A9" w:rsidRDefault="00000000">
      <w:pPr>
        <w:spacing w:after="200"/>
        <w:jc w:val="center"/>
      </w:pPr>
      <w:r>
        <w:rPr>
          <w:noProof/>
        </w:rPr>
        <w:drawing>
          <wp:inline distT="0" distB="0" distL="0" distR="0" wp14:anchorId="7D8B802E" wp14:editId="0A0F3BE5">
            <wp:extent cx="6155055" cy="5561463"/>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png"/>
                    <pic:cNvPicPr/>
                  </pic:nvPicPr>
                  <pic:blipFill>
                    <a:blip r:embed="rId10"/>
                    <a:stretch>
                      <a:fillRect/>
                    </a:stretch>
                  </pic:blipFill>
                  <pic:spPr>
                    <a:xfrm>
                      <a:off x="0" y="0"/>
                      <a:ext cx="6164088" cy="5569625"/>
                    </a:xfrm>
                    <a:prstGeom prst="rect">
                      <a:avLst/>
                    </a:prstGeom>
                  </pic:spPr>
                </pic:pic>
              </a:graphicData>
            </a:graphic>
          </wp:inline>
        </w:drawing>
      </w:r>
    </w:p>
    <w:p w14:paraId="26B43A74" w14:textId="77777777" w:rsidR="002D1EDB" w:rsidRDefault="002D1EDB">
      <w:pPr>
        <w:spacing w:after="200"/>
        <w:jc w:val="center"/>
      </w:pPr>
    </w:p>
    <w:p w14:paraId="51B89909" w14:textId="77777777" w:rsidR="00C913A9" w:rsidRPr="00BC63E0" w:rsidRDefault="00000000">
      <w:pPr>
        <w:pStyle w:val="Titre2"/>
        <w:rPr>
          <w:lang w:val="fr-FR"/>
        </w:rPr>
      </w:pPr>
      <w:r w:rsidRPr="00BC63E0">
        <w:rPr>
          <w:lang w:val="fr-FR"/>
        </w:rPr>
        <w:t>Nouveau portefeuille au 20/02/2026</w:t>
      </w:r>
    </w:p>
    <w:p w14:paraId="69F85286" w14:textId="77777777" w:rsidR="00BC63E0" w:rsidRDefault="00BC63E0">
      <w:pPr>
        <w:jc w:val="both"/>
        <w:rPr>
          <w:lang w:val="fr-FR"/>
        </w:rPr>
      </w:pPr>
    </w:p>
    <w:p w14:paraId="31D3C6B0" w14:textId="1A1670F6" w:rsidR="00C913A9" w:rsidRDefault="00000000">
      <w:pPr>
        <w:jc w:val="both"/>
        <w:rPr>
          <w:lang w:val="fr-FR"/>
        </w:rPr>
      </w:pPr>
      <w:r w:rsidRPr="00BC63E0">
        <w:rPr>
          <w:lang w:val="fr-FR"/>
        </w:rPr>
        <w:t>À la suite des ventes réalisées en septembre et en novembre 2025, le portefeuille se présente comme suit :</w:t>
      </w:r>
      <w:r w:rsidRPr="00BC63E0">
        <w:rPr>
          <w:lang w:val="fr-FR"/>
        </w:rPr>
        <w:br/>
        <w:t>Il convient de noter que le solde de trésorerie (559 K€) est net de divers retraits (cadeaux pour mon épouse et mes fils, etc.).</w:t>
      </w:r>
    </w:p>
    <w:p w14:paraId="13B08CAB" w14:textId="77777777" w:rsidR="00BC63E0" w:rsidRPr="00BC63E0" w:rsidRDefault="00BC63E0">
      <w:pPr>
        <w:jc w:val="both"/>
        <w:rPr>
          <w:lang w:val="fr-FR"/>
        </w:rPr>
      </w:pPr>
    </w:p>
    <w:p w14:paraId="247A0E4E" w14:textId="77777777" w:rsidR="00C913A9" w:rsidRDefault="00000000">
      <w:pPr>
        <w:spacing w:after="200"/>
        <w:jc w:val="center"/>
      </w:pPr>
      <w:r>
        <w:rPr>
          <w:noProof/>
        </w:rPr>
        <w:drawing>
          <wp:inline distT="0" distB="0" distL="0" distR="0" wp14:anchorId="72C83384" wp14:editId="096BEC48">
            <wp:extent cx="7833815" cy="34320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png"/>
                    <pic:cNvPicPr/>
                  </pic:nvPicPr>
                  <pic:blipFill>
                    <a:blip r:embed="rId11"/>
                    <a:stretch>
                      <a:fillRect/>
                    </a:stretch>
                  </pic:blipFill>
                  <pic:spPr>
                    <a:xfrm>
                      <a:off x="0" y="0"/>
                      <a:ext cx="7885607" cy="3454731"/>
                    </a:xfrm>
                    <a:prstGeom prst="rect">
                      <a:avLst/>
                    </a:prstGeom>
                  </pic:spPr>
                </pic:pic>
              </a:graphicData>
            </a:graphic>
          </wp:inline>
        </w:drawing>
      </w:r>
    </w:p>
    <w:p w14:paraId="13BE49D9" w14:textId="77777777" w:rsidR="002D1EDB" w:rsidRDefault="002D1EDB">
      <w:pPr>
        <w:spacing w:after="200"/>
        <w:jc w:val="center"/>
      </w:pPr>
    </w:p>
    <w:p w14:paraId="79837AEF" w14:textId="77777777" w:rsidR="00C913A9" w:rsidRPr="00BC63E0" w:rsidRDefault="00000000">
      <w:pPr>
        <w:pStyle w:val="Titre1"/>
        <w:rPr>
          <w:lang w:val="fr-FR"/>
        </w:rPr>
      </w:pPr>
      <w:r w:rsidRPr="00BC63E0">
        <w:rPr>
          <w:lang w:val="fr-FR"/>
        </w:rPr>
        <w:t>Épargne-retraite et plan d’épargne entreprise</w:t>
      </w:r>
    </w:p>
    <w:p w14:paraId="696191FE" w14:textId="77777777" w:rsidR="00BC63E0" w:rsidRDefault="00BC63E0">
      <w:pPr>
        <w:jc w:val="both"/>
        <w:rPr>
          <w:lang w:val="fr-FR"/>
        </w:rPr>
      </w:pPr>
    </w:p>
    <w:p w14:paraId="4410104B" w14:textId="77112FBE" w:rsidR="00C913A9" w:rsidRDefault="00000000">
      <w:pPr>
        <w:jc w:val="both"/>
        <w:rPr>
          <w:lang w:val="fr-FR"/>
        </w:rPr>
      </w:pPr>
      <w:r w:rsidRPr="00BC63E0">
        <w:rPr>
          <w:lang w:val="fr-FR"/>
        </w:rPr>
        <w:t>Fin 2017, je détenais un portefeuille composé d’un plan d’épargne entreprise et d’un plan d’épargne retraite. Ce portefeuille, particulièrement exposé aux valeurs bancaires européennes – notamment Crédit Agricole –, était valorisé à 126 300 € (valeur nominale de 84 K€ + solde des acquisitions issues de retraits entre 2018 et 2026, soit +42,3 K€) fin 2017.</w:t>
      </w:r>
      <w:r w:rsidRPr="00BC63E0">
        <w:rPr>
          <w:lang w:val="fr-FR"/>
        </w:rPr>
        <w:br/>
      </w:r>
      <w:r w:rsidRPr="00BC63E0">
        <w:rPr>
          <w:lang w:val="fr-FR"/>
        </w:rPr>
        <w:br/>
        <w:t>Sa valeur au 20 février 2026 s’élève à 277 182 €, soit une hausse de 119 % sur la période, largement attribuable aux généreux dividendes versés par Crédit Agricole SA. Le CAC, dividendes inclus, a progressé de 70 % depuis la fin 2017.</w:t>
      </w:r>
    </w:p>
    <w:p w14:paraId="046651FF" w14:textId="77777777" w:rsidR="00BC63E0" w:rsidRPr="00BC63E0" w:rsidRDefault="00BC63E0">
      <w:pPr>
        <w:jc w:val="both"/>
        <w:rPr>
          <w:lang w:val="fr-FR"/>
        </w:rPr>
      </w:pPr>
    </w:p>
    <w:p w14:paraId="374DF59F" w14:textId="77777777" w:rsidR="00C913A9" w:rsidRDefault="00000000">
      <w:pPr>
        <w:spacing w:after="200"/>
        <w:jc w:val="center"/>
      </w:pPr>
      <w:r>
        <w:rPr>
          <w:noProof/>
        </w:rPr>
        <w:drawing>
          <wp:inline distT="0" distB="0" distL="0" distR="0" wp14:anchorId="4D3206E6" wp14:editId="133F8637">
            <wp:extent cx="4852416" cy="38770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png"/>
                    <pic:cNvPicPr/>
                  </pic:nvPicPr>
                  <pic:blipFill>
                    <a:blip r:embed="rId12"/>
                    <a:stretch>
                      <a:fillRect/>
                    </a:stretch>
                  </pic:blipFill>
                  <pic:spPr>
                    <a:xfrm>
                      <a:off x="0" y="0"/>
                      <a:ext cx="4852416" cy="3877057"/>
                    </a:xfrm>
                    <a:prstGeom prst="rect">
                      <a:avLst/>
                    </a:prstGeom>
                  </pic:spPr>
                </pic:pic>
              </a:graphicData>
            </a:graphic>
          </wp:inline>
        </w:drawing>
      </w:r>
    </w:p>
    <w:p w14:paraId="27164F5C" w14:textId="77777777" w:rsidR="002D1EDB" w:rsidRDefault="002D1EDB">
      <w:pPr>
        <w:spacing w:after="200"/>
        <w:jc w:val="center"/>
      </w:pPr>
    </w:p>
    <w:p w14:paraId="44D4AF93" w14:textId="77777777" w:rsidR="00C913A9" w:rsidRPr="00BC63E0" w:rsidRDefault="00000000">
      <w:pPr>
        <w:pStyle w:val="CaptionFR"/>
        <w:rPr>
          <w:lang w:val="fr-FR"/>
        </w:rPr>
      </w:pPr>
      <w:r w:rsidRPr="00BC63E0">
        <w:rPr>
          <w:lang w:val="fr-FR"/>
        </w:rPr>
        <w:t>MTM au 20/02/2026 : 153 000 €</w:t>
      </w:r>
    </w:p>
    <w:p w14:paraId="2E6079F0" w14:textId="77777777" w:rsidR="00C913A9" w:rsidRPr="00BC63E0" w:rsidRDefault="00000000">
      <w:pPr>
        <w:pStyle w:val="CaptionFR"/>
        <w:rPr>
          <w:lang w:val="fr-FR"/>
        </w:rPr>
      </w:pPr>
      <w:r w:rsidRPr="00BC63E0">
        <w:rPr>
          <w:lang w:val="fr-FR"/>
        </w:rPr>
        <w:t>MTM au 20/02/2026 : 124 000 €</w:t>
      </w:r>
    </w:p>
    <w:p w14:paraId="00490B7A" w14:textId="77777777" w:rsidR="002D1EDB" w:rsidRDefault="002D1EDB">
      <w:pPr>
        <w:jc w:val="both"/>
        <w:rPr>
          <w:lang w:val="fr-FR"/>
        </w:rPr>
      </w:pPr>
    </w:p>
    <w:p w14:paraId="4632B65E" w14:textId="1DEF4C26" w:rsidR="00C913A9" w:rsidRPr="00BC63E0" w:rsidRDefault="00000000">
      <w:pPr>
        <w:jc w:val="both"/>
        <w:rPr>
          <w:lang w:val="fr-FR"/>
        </w:rPr>
      </w:pPr>
      <w:r w:rsidRPr="00BC63E0">
        <w:rPr>
          <w:lang w:val="fr-FR"/>
        </w:rPr>
        <w:t>L’évolution du compte épargne entreprise a été plus particulièrement impactée par le titre Crédit Agricole, dont les variations depuis son introduction en Bourse en 2001 ont été les suivantes.</w:t>
      </w:r>
    </w:p>
    <w:p w14:paraId="228B073F" w14:textId="77777777" w:rsidR="00C913A9" w:rsidRDefault="00000000">
      <w:pPr>
        <w:spacing w:after="200"/>
        <w:jc w:val="center"/>
      </w:pPr>
      <w:r>
        <w:rPr>
          <w:noProof/>
        </w:rPr>
        <w:drawing>
          <wp:inline distT="0" distB="0" distL="0" distR="0" wp14:anchorId="070CAB99" wp14:editId="5CC5FDAC">
            <wp:extent cx="8403590" cy="3473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pic:cNvPicPr/>
                  </pic:nvPicPr>
                  <pic:blipFill>
                    <a:blip r:embed="rId13"/>
                    <a:stretch>
                      <a:fillRect/>
                    </a:stretch>
                  </pic:blipFill>
                  <pic:spPr>
                    <a:xfrm>
                      <a:off x="0" y="0"/>
                      <a:ext cx="8440088" cy="3488440"/>
                    </a:xfrm>
                    <a:prstGeom prst="rect">
                      <a:avLst/>
                    </a:prstGeom>
                  </pic:spPr>
                </pic:pic>
              </a:graphicData>
            </a:graphic>
          </wp:inline>
        </w:drawing>
      </w:r>
    </w:p>
    <w:p w14:paraId="7B03E775" w14:textId="77777777" w:rsidR="00BC63E0" w:rsidRDefault="00BC63E0">
      <w:pPr>
        <w:pStyle w:val="Titre1"/>
        <w:rPr>
          <w:lang w:val="fr-FR"/>
        </w:rPr>
      </w:pPr>
    </w:p>
    <w:p w14:paraId="4AA1C039" w14:textId="64646858" w:rsidR="00C913A9" w:rsidRPr="00BC63E0" w:rsidRDefault="00000000">
      <w:pPr>
        <w:pStyle w:val="Titre1"/>
        <w:rPr>
          <w:lang w:val="fr-FR"/>
        </w:rPr>
      </w:pPr>
      <w:r w:rsidRPr="00BC63E0">
        <w:rPr>
          <w:lang w:val="fr-FR"/>
        </w:rPr>
        <w:t>Marché haussier sur l’or et les actions aurifères</w:t>
      </w:r>
    </w:p>
    <w:p w14:paraId="3A58175C" w14:textId="4FA8A5E1" w:rsidR="00C913A9" w:rsidRDefault="00000000">
      <w:pPr>
        <w:jc w:val="both"/>
        <w:rPr>
          <w:lang w:val="fr-FR"/>
        </w:rPr>
      </w:pPr>
      <w:r w:rsidRPr="00BC63E0">
        <w:rPr>
          <w:lang w:val="fr-FR"/>
        </w:rPr>
        <w:t>Vous trouverez ci-dessous les graphiques 2017-2026 des mines d’or que j’ai achetées en novembre et décembre 2017, ainsi que le puissant marché haussier qui a suivi (sous-valorisation bien</w:t>
      </w:r>
      <w:r w:rsidR="00BC63E0">
        <w:rPr>
          <w:lang w:val="fr-FR"/>
        </w:rPr>
        <w:t xml:space="preserve"> </w:t>
      </w:r>
      <w:r w:rsidRPr="00BC63E0">
        <w:rPr>
          <w:lang w:val="fr-FR"/>
        </w:rPr>
        <w:t>détectée par mes modèles).</w:t>
      </w:r>
      <w:r w:rsidRPr="00BC63E0">
        <w:rPr>
          <w:lang w:val="fr-FR"/>
        </w:rPr>
        <w:br/>
        <w:t>De fin 2017 à février 2026, le taux de change euro/dollar est resté quasiment inchangé (1,2 fin 2017 contre 1,18 au 20 février 2026).</w:t>
      </w:r>
    </w:p>
    <w:p w14:paraId="0B166D3A" w14:textId="77777777" w:rsidR="00BC63E0" w:rsidRPr="00BC63E0" w:rsidRDefault="00BC63E0">
      <w:pPr>
        <w:jc w:val="both"/>
        <w:rPr>
          <w:lang w:val="fr-FR"/>
        </w:rPr>
      </w:pPr>
    </w:p>
    <w:tbl>
      <w:tblPr>
        <w:tblStyle w:val="Grilledutableau"/>
        <w:tblW w:w="0" w:type="auto"/>
        <w:tblLook w:val="04A0" w:firstRow="1" w:lastRow="0" w:firstColumn="1" w:lastColumn="0" w:noHBand="0" w:noVBand="1"/>
      </w:tblPr>
      <w:tblGrid>
        <w:gridCol w:w="2446"/>
        <w:gridCol w:w="2445"/>
        <w:gridCol w:w="2445"/>
        <w:gridCol w:w="2446"/>
      </w:tblGrid>
      <w:tr w:rsidR="00C913A9" w14:paraId="38A69B15" w14:textId="77777777">
        <w:tc>
          <w:tcPr>
            <w:tcW w:w="2448" w:type="dxa"/>
          </w:tcPr>
          <w:p w14:paraId="6084F74A" w14:textId="77777777" w:rsidR="00C913A9" w:rsidRDefault="00000000">
            <w:pPr>
              <w:spacing w:after="40"/>
            </w:pPr>
            <w:r>
              <w:rPr>
                <w:sz w:val="21"/>
              </w:rPr>
              <w:t>Valeur</w:t>
            </w:r>
          </w:p>
        </w:tc>
        <w:tc>
          <w:tcPr>
            <w:tcW w:w="2448" w:type="dxa"/>
          </w:tcPr>
          <w:p w14:paraId="680FCE09" w14:textId="77777777" w:rsidR="00C913A9" w:rsidRDefault="00000000">
            <w:pPr>
              <w:spacing w:after="40"/>
              <w:jc w:val="center"/>
            </w:pPr>
            <w:r>
              <w:rPr>
                <w:sz w:val="21"/>
              </w:rPr>
              <w:t>Fin déc. 2017</w:t>
            </w:r>
          </w:p>
        </w:tc>
        <w:tc>
          <w:tcPr>
            <w:tcW w:w="2448" w:type="dxa"/>
          </w:tcPr>
          <w:p w14:paraId="41602EA6" w14:textId="77777777" w:rsidR="00C913A9" w:rsidRDefault="00000000">
            <w:pPr>
              <w:spacing w:after="40"/>
              <w:jc w:val="center"/>
            </w:pPr>
            <w:r>
              <w:rPr>
                <w:sz w:val="21"/>
              </w:rPr>
              <w:t>22 février 2026</w:t>
            </w:r>
          </w:p>
        </w:tc>
        <w:tc>
          <w:tcPr>
            <w:tcW w:w="2448" w:type="dxa"/>
          </w:tcPr>
          <w:p w14:paraId="21EA680E" w14:textId="77777777" w:rsidR="00C913A9" w:rsidRDefault="00000000">
            <w:pPr>
              <w:spacing w:after="40"/>
              <w:jc w:val="center"/>
            </w:pPr>
            <w:r>
              <w:rPr>
                <w:sz w:val="21"/>
              </w:rPr>
              <w:t>Variation</w:t>
            </w:r>
          </w:p>
        </w:tc>
      </w:tr>
      <w:tr w:rsidR="00C913A9" w14:paraId="4950DB0C" w14:textId="77777777">
        <w:tc>
          <w:tcPr>
            <w:tcW w:w="2448" w:type="dxa"/>
          </w:tcPr>
          <w:p w14:paraId="6A983EBB" w14:textId="77777777" w:rsidR="00C913A9" w:rsidRDefault="00000000">
            <w:pPr>
              <w:spacing w:after="40"/>
            </w:pPr>
            <w:r>
              <w:rPr>
                <w:sz w:val="21"/>
              </w:rPr>
              <w:t>Goldfields</w:t>
            </w:r>
          </w:p>
        </w:tc>
        <w:tc>
          <w:tcPr>
            <w:tcW w:w="2448" w:type="dxa"/>
          </w:tcPr>
          <w:p w14:paraId="6DAB7E6C" w14:textId="77777777" w:rsidR="00C913A9" w:rsidRDefault="00000000">
            <w:pPr>
              <w:spacing w:after="40"/>
              <w:jc w:val="center"/>
            </w:pPr>
            <w:r>
              <w:rPr>
                <w:sz w:val="21"/>
              </w:rPr>
              <w:t>3,6</w:t>
            </w:r>
          </w:p>
        </w:tc>
        <w:tc>
          <w:tcPr>
            <w:tcW w:w="2448" w:type="dxa"/>
          </w:tcPr>
          <w:p w14:paraId="671DE40D" w14:textId="77777777" w:rsidR="00C913A9" w:rsidRDefault="00000000">
            <w:pPr>
              <w:spacing w:after="40"/>
              <w:jc w:val="center"/>
            </w:pPr>
            <w:r>
              <w:rPr>
                <w:sz w:val="21"/>
              </w:rPr>
              <w:t>46</w:t>
            </w:r>
          </w:p>
        </w:tc>
        <w:tc>
          <w:tcPr>
            <w:tcW w:w="2448" w:type="dxa"/>
          </w:tcPr>
          <w:p w14:paraId="00C2B971" w14:textId="77777777" w:rsidR="00C913A9" w:rsidRDefault="00000000">
            <w:pPr>
              <w:spacing w:after="40"/>
              <w:jc w:val="center"/>
            </w:pPr>
            <w:r>
              <w:rPr>
                <w:sz w:val="21"/>
              </w:rPr>
              <w:t>+1177 %</w:t>
            </w:r>
          </w:p>
        </w:tc>
      </w:tr>
      <w:tr w:rsidR="00C913A9" w14:paraId="239ED89E" w14:textId="77777777">
        <w:tc>
          <w:tcPr>
            <w:tcW w:w="2448" w:type="dxa"/>
          </w:tcPr>
          <w:p w14:paraId="3DF041A3" w14:textId="77777777" w:rsidR="00C913A9" w:rsidRDefault="00000000">
            <w:pPr>
              <w:spacing w:after="40"/>
            </w:pPr>
            <w:r>
              <w:rPr>
                <w:sz w:val="21"/>
              </w:rPr>
              <w:t>Harmony</w:t>
            </w:r>
          </w:p>
        </w:tc>
        <w:tc>
          <w:tcPr>
            <w:tcW w:w="2448" w:type="dxa"/>
          </w:tcPr>
          <w:p w14:paraId="4512ED32" w14:textId="77777777" w:rsidR="00C913A9" w:rsidRDefault="00000000">
            <w:pPr>
              <w:spacing w:after="40"/>
              <w:jc w:val="center"/>
            </w:pPr>
            <w:r>
              <w:rPr>
                <w:sz w:val="21"/>
              </w:rPr>
              <w:t>1,45</w:t>
            </w:r>
          </w:p>
        </w:tc>
        <w:tc>
          <w:tcPr>
            <w:tcW w:w="2448" w:type="dxa"/>
          </w:tcPr>
          <w:p w14:paraId="02226EFC" w14:textId="77777777" w:rsidR="00C913A9" w:rsidRDefault="00000000">
            <w:pPr>
              <w:spacing w:after="40"/>
              <w:jc w:val="center"/>
            </w:pPr>
            <w:r>
              <w:rPr>
                <w:sz w:val="21"/>
              </w:rPr>
              <w:t>17,7</w:t>
            </w:r>
          </w:p>
        </w:tc>
        <w:tc>
          <w:tcPr>
            <w:tcW w:w="2448" w:type="dxa"/>
          </w:tcPr>
          <w:p w14:paraId="7E086886" w14:textId="77777777" w:rsidR="00C913A9" w:rsidRDefault="00000000">
            <w:pPr>
              <w:spacing w:after="40"/>
              <w:jc w:val="center"/>
            </w:pPr>
            <w:r>
              <w:rPr>
                <w:sz w:val="21"/>
              </w:rPr>
              <w:t>+1121 %</w:t>
            </w:r>
          </w:p>
        </w:tc>
      </w:tr>
      <w:tr w:rsidR="00C913A9" w14:paraId="5FFEA237" w14:textId="77777777">
        <w:tc>
          <w:tcPr>
            <w:tcW w:w="2448" w:type="dxa"/>
          </w:tcPr>
          <w:p w14:paraId="1FE8DA3A" w14:textId="77777777" w:rsidR="00C913A9" w:rsidRDefault="00000000">
            <w:pPr>
              <w:spacing w:after="40"/>
            </w:pPr>
            <w:r>
              <w:rPr>
                <w:sz w:val="21"/>
              </w:rPr>
              <w:t>DRDgold</w:t>
            </w:r>
          </w:p>
        </w:tc>
        <w:tc>
          <w:tcPr>
            <w:tcW w:w="2448" w:type="dxa"/>
          </w:tcPr>
          <w:p w14:paraId="430898B8" w14:textId="77777777" w:rsidR="00C913A9" w:rsidRDefault="00000000">
            <w:pPr>
              <w:spacing w:after="40"/>
              <w:jc w:val="center"/>
            </w:pPr>
            <w:r>
              <w:rPr>
                <w:sz w:val="21"/>
              </w:rPr>
              <w:t>2,6</w:t>
            </w:r>
          </w:p>
        </w:tc>
        <w:tc>
          <w:tcPr>
            <w:tcW w:w="2448" w:type="dxa"/>
          </w:tcPr>
          <w:p w14:paraId="3BD7A6C8" w14:textId="77777777" w:rsidR="00C913A9" w:rsidRDefault="00000000">
            <w:pPr>
              <w:spacing w:after="40"/>
              <w:jc w:val="center"/>
            </w:pPr>
            <w:r>
              <w:rPr>
                <w:sz w:val="21"/>
              </w:rPr>
              <w:t>30,3</w:t>
            </w:r>
          </w:p>
        </w:tc>
        <w:tc>
          <w:tcPr>
            <w:tcW w:w="2448" w:type="dxa"/>
          </w:tcPr>
          <w:p w14:paraId="5B261BA0" w14:textId="77777777" w:rsidR="00C913A9" w:rsidRDefault="00000000">
            <w:pPr>
              <w:spacing w:after="40"/>
              <w:jc w:val="center"/>
            </w:pPr>
            <w:r>
              <w:rPr>
                <w:sz w:val="21"/>
              </w:rPr>
              <w:t>+1065 %</w:t>
            </w:r>
          </w:p>
        </w:tc>
      </w:tr>
      <w:tr w:rsidR="00C913A9" w14:paraId="62A99A9B" w14:textId="77777777">
        <w:tc>
          <w:tcPr>
            <w:tcW w:w="2448" w:type="dxa"/>
          </w:tcPr>
          <w:p w14:paraId="46A1F0B2" w14:textId="77777777" w:rsidR="00C913A9" w:rsidRDefault="00000000">
            <w:pPr>
              <w:spacing w:after="40"/>
            </w:pPr>
            <w:r>
              <w:rPr>
                <w:sz w:val="21"/>
              </w:rPr>
              <w:t>Sibanye</w:t>
            </w:r>
          </w:p>
        </w:tc>
        <w:tc>
          <w:tcPr>
            <w:tcW w:w="2448" w:type="dxa"/>
          </w:tcPr>
          <w:p w14:paraId="4D9BB8E6" w14:textId="77777777" w:rsidR="00C913A9" w:rsidRDefault="00000000">
            <w:pPr>
              <w:spacing w:after="40"/>
              <w:jc w:val="center"/>
            </w:pPr>
            <w:r>
              <w:rPr>
                <w:sz w:val="21"/>
              </w:rPr>
              <w:t>4,2</w:t>
            </w:r>
          </w:p>
        </w:tc>
        <w:tc>
          <w:tcPr>
            <w:tcW w:w="2448" w:type="dxa"/>
          </w:tcPr>
          <w:p w14:paraId="6A114065" w14:textId="77777777" w:rsidR="00C913A9" w:rsidRDefault="00000000">
            <w:pPr>
              <w:spacing w:after="40"/>
              <w:jc w:val="center"/>
            </w:pPr>
            <w:r>
              <w:rPr>
                <w:sz w:val="21"/>
              </w:rPr>
              <w:t>13,5</w:t>
            </w:r>
          </w:p>
        </w:tc>
        <w:tc>
          <w:tcPr>
            <w:tcW w:w="2448" w:type="dxa"/>
          </w:tcPr>
          <w:p w14:paraId="32E051A9" w14:textId="77777777" w:rsidR="00C913A9" w:rsidRDefault="00000000">
            <w:pPr>
              <w:spacing w:after="40"/>
              <w:jc w:val="center"/>
            </w:pPr>
            <w:r>
              <w:rPr>
                <w:sz w:val="21"/>
              </w:rPr>
              <w:t>+221 %</w:t>
            </w:r>
          </w:p>
        </w:tc>
      </w:tr>
    </w:tbl>
    <w:p w14:paraId="1F9D20D3" w14:textId="77777777" w:rsidR="00C913A9" w:rsidRDefault="00C913A9"/>
    <w:p w14:paraId="6A01036F" w14:textId="77777777" w:rsidR="00C913A9" w:rsidRDefault="00000000">
      <w:pPr>
        <w:pStyle w:val="CaptionFR"/>
        <w:rPr>
          <w:lang w:val="fr-FR"/>
        </w:rPr>
      </w:pPr>
      <w:r w:rsidRPr="00BC63E0">
        <w:rPr>
          <w:lang w:val="fr-FR"/>
        </w:rPr>
        <w:t xml:space="preserve">Code boursier DRD de </w:t>
      </w:r>
      <w:proofErr w:type="spellStart"/>
      <w:r w:rsidRPr="00BC63E0">
        <w:rPr>
          <w:lang w:val="fr-FR"/>
        </w:rPr>
        <w:t>DRDgold</w:t>
      </w:r>
      <w:proofErr w:type="spellEnd"/>
      <w:r w:rsidRPr="00BC63E0">
        <w:rPr>
          <w:lang w:val="fr-FR"/>
        </w:rPr>
        <w:t xml:space="preserve"> (source : Yahoo Finance et </w:t>
      </w:r>
      <w:proofErr w:type="spellStart"/>
      <w:r w:rsidRPr="00BC63E0">
        <w:rPr>
          <w:lang w:val="fr-FR"/>
        </w:rPr>
        <w:t>MarketWatch</w:t>
      </w:r>
      <w:proofErr w:type="spellEnd"/>
      <w:r w:rsidRPr="00BC63E0">
        <w:rPr>
          <w:lang w:val="fr-FR"/>
        </w:rPr>
        <w:t>)</w:t>
      </w:r>
    </w:p>
    <w:p w14:paraId="37437978" w14:textId="77777777" w:rsidR="00BC63E0" w:rsidRPr="00BC63E0" w:rsidRDefault="00BC63E0">
      <w:pPr>
        <w:pStyle w:val="CaptionFR"/>
        <w:rPr>
          <w:lang w:val="fr-FR"/>
        </w:rPr>
      </w:pPr>
    </w:p>
    <w:p w14:paraId="43EDAFC9" w14:textId="77777777" w:rsidR="00C913A9" w:rsidRDefault="00000000">
      <w:pPr>
        <w:spacing w:after="200"/>
        <w:jc w:val="center"/>
      </w:pPr>
      <w:r>
        <w:rPr>
          <w:noProof/>
        </w:rPr>
        <w:drawing>
          <wp:inline distT="0" distB="0" distL="0" distR="0" wp14:anchorId="3A512306" wp14:editId="55B981BC">
            <wp:extent cx="5486400" cy="39633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png"/>
                    <pic:cNvPicPr/>
                  </pic:nvPicPr>
                  <pic:blipFill>
                    <a:blip r:embed="rId14"/>
                    <a:stretch>
                      <a:fillRect/>
                    </a:stretch>
                  </pic:blipFill>
                  <pic:spPr>
                    <a:xfrm>
                      <a:off x="0" y="0"/>
                      <a:ext cx="5486400" cy="3963380"/>
                    </a:xfrm>
                    <a:prstGeom prst="rect">
                      <a:avLst/>
                    </a:prstGeom>
                  </pic:spPr>
                </pic:pic>
              </a:graphicData>
            </a:graphic>
          </wp:inline>
        </w:drawing>
      </w:r>
    </w:p>
    <w:p w14:paraId="107D9288" w14:textId="77777777" w:rsidR="00C913A9" w:rsidRDefault="00000000">
      <w:pPr>
        <w:pStyle w:val="CaptionFR"/>
      </w:pPr>
      <w:r>
        <w:t>Code boursier HMY de Harmony Gold Mining</w:t>
      </w:r>
    </w:p>
    <w:p w14:paraId="3C6B1D16" w14:textId="77777777" w:rsidR="00C913A9" w:rsidRDefault="00000000">
      <w:pPr>
        <w:spacing w:after="200"/>
        <w:jc w:val="center"/>
      </w:pPr>
      <w:r>
        <w:rPr>
          <w:noProof/>
        </w:rPr>
        <w:drawing>
          <wp:inline distT="0" distB="0" distL="0" distR="0" wp14:anchorId="48B2D9FF" wp14:editId="1061D72B">
            <wp:extent cx="5486400" cy="366548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png"/>
                    <pic:cNvPicPr/>
                  </pic:nvPicPr>
                  <pic:blipFill>
                    <a:blip r:embed="rId15"/>
                    <a:stretch>
                      <a:fillRect/>
                    </a:stretch>
                  </pic:blipFill>
                  <pic:spPr>
                    <a:xfrm>
                      <a:off x="0" y="0"/>
                      <a:ext cx="5486400" cy="3665483"/>
                    </a:xfrm>
                    <a:prstGeom prst="rect">
                      <a:avLst/>
                    </a:prstGeom>
                  </pic:spPr>
                </pic:pic>
              </a:graphicData>
            </a:graphic>
          </wp:inline>
        </w:drawing>
      </w:r>
    </w:p>
    <w:p w14:paraId="744798E0" w14:textId="77777777" w:rsidR="00C913A9" w:rsidRDefault="00000000">
      <w:pPr>
        <w:pStyle w:val="CaptionFR"/>
      </w:pPr>
      <w:r>
        <w:t>Code boursier GFI de Goldfields</w:t>
      </w:r>
    </w:p>
    <w:p w14:paraId="79C0B8F1" w14:textId="77777777" w:rsidR="00C913A9" w:rsidRDefault="00000000">
      <w:pPr>
        <w:spacing w:after="200"/>
        <w:jc w:val="center"/>
      </w:pPr>
      <w:r>
        <w:rPr>
          <w:noProof/>
        </w:rPr>
        <w:drawing>
          <wp:inline distT="0" distB="0" distL="0" distR="0" wp14:anchorId="148843B2" wp14:editId="4A99CA8C">
            <wp:extent cx="5486400" cy="3737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png"/>
                    <pic:cNvPicPr/>
                  </pic:nvPicPr>
                  <pic:blipFill>
                    <a:blip r:embed="rId16"/>
                    <a:stretch>
                      <a:fillRect/>
                    </a:stretch>
                  </pic:blipFill>
                  <pic:spPr>
                    <a:xfrm>
                      <a:off x="0" y="0"/>
                      <a:ext cx="5486400" cy="3737200"/>
                    </a:xfrm>
                    <a:prstGeom prst="rect">
                      <a:avLst/>
                    </a:prstGeom>
                  </pic:spPr>
                </pic:pic>
              </a:graphicData>
            </a:graphic>
          </wp:inline>
        </w:drawing>
      </w:r>
    </w:p>
    <w:p w14:paraId="7183E138" w14:textId="77777777" w:rsidR="00C913A9" w:rsidRDefault="00000000">
      <w:pPr>
        <w:pStyle w:val="CaptionFR"/>
      </w:pPr>
      <w:r>
        <w:t>Code boursier SBSW de Sibanye</w:t>
      </w:r>
    </w:p>
    <w:p w14:paraId="6B64224B" w14:textId="77777777" w:rsidR="00C913A9" w:rsidRDefault="00000000">
      <w:pPr>
        <w:spacing w:after="200"/>
        <w:jc w:val="center"/>
      </w:pPr>
      <w:r>
        <w:rPr>
          <w:noProof/>
        </w:rPr>
        <w:drawing>
          <wp:inline distT="0" distB="0" distL="0" distR="0" wp14:anchorId="08FC3042" wp14:editId="4DD40DD2">
            <wp:extent cx="5486400" cy="395326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png"/>
                    <pic:cNvPicPr/>
                  </pic:nvPicPr>
                  <pic:blipFill>
                    <a:blip r:embed="rId17"/>
                    <a:stretch>
                      <a:fillRect/>
                    </a:stretch>
                  </pic:blipFill>
                  <pic:spPr>
                    <a:xfrm>
                      <a:off x="0" y="0"/>
                      <a:ext cx="5486400" cy="3953263"/>
                    </a:xfrm>
                    <a:prstGeom prst="rect">
                      <a:avLst/>
                    </a:prstGeom>
                  </pic:spPr>
                </pic:pic>
              </a:graphicData>
            </a:graphic>
          </wp:inline>
        </w:drawing>
      </w:r>
    </w:p>
    <w:p w14:paraId="02666B36" w14:textId="77777777" w:rsidR="00BC63E0" w:rsidRDefault="00BC63E0">
      <w:pPr>
        <w:jc w:val="both"/>
        <w:rPr>
          <w:lang w:val="fr-FR"/>
        </w:rPr>
      </w:pPr>
    </w:p>
    <w:p w14:paraId="7B84884F" w14:textId="3297BE25" w:rsidR="00C913A9" w:rsidRPr="00BC63E0" w:rsidRDefault="00000000">
      <w:pPr>
        <w:jc w:val="both"/>
        <w:rPr>
          <w:lang w:val="fr-FR"/>
        </w:rPr>
      </w:pPr>
      <w:r w:rsidRPr="00BC63E0">
        <w:rPr>
          <w:lang w:val="fr-FR"/>
        </w:rPr>
        <w:t xml:space="preserve">En outre, depuis 2017, les actionnaires de </w:t>
      </w:r>
      <w:proofErr w:type="spellStart"/>
      <w:r w:rsidRPr="00BC63E0">
        <w:rPr>
          <w:lang w:val="fr-FR"/>
        </w:rPr>
        <w:t>DRDgold</w:t>
      </w:r>
      <w:proofErr w:type="spellEnd"/>
      <w:r w:rsidRPr="00BC63E0">
        <w:rPr>
          <w:lang w:val="fr-FR"/>
        </w:rPr>
        <w:t xml:space="preserve"> ont perçu au total 2 dollars de dividendes bruts (avant impôt), soit plus de 60 % de la valeur de l’action fin 2017. Le même phénomène s’est produit avec </w:t>
      </w:r>
      <w:proofErr w:type="spellStart"/>
      <w:r w:rsidRPr="00BC63E0">
        <w:rPr>
          <w:lang w:val="fr-FR"/>
        </w:rPr>
        <w:t>Sibanye</w:t>
      </w:r>
      <w:proofErr w:type="spellEnd"/>
      <w:r w:rsidRPr="00BC63E0">
        <w:rPr>
          <w:lang w:val="fr-FR"/>
        </w:rPr>
        <w:t xml:space="preserve"> (60 % du cours de l’action fin 2017 distribués en dividendes de 2017 à aujourd’hui). Le rendement des actions françaises ou américaines se situe actuellement autour de 2 % par an.</w:t>
      </w:r>
    </w:p>
    <w:p w14:paraId="59E48684" w14:textId="77777777" w:rsidR="00BC63E0" w:rsidRDefault="00BC63E0">
      <w:pPr>
        <w:pStyle w:val="Titre1"/>
        <w:rPr>
          <w:lang w:val="fr-FR"/>
        </w:rPr>
      </w:pPr>
    </w:p>
    <w:p w14:paraId="266E42A6" w14:textId="2E2B9AF5" w:rsidR="00C913A9" w:rsidRPr="00BC63E0" w:rsidRDefault="00000000">
      <w:pPr>
        <w:pStyle w:val="Titre1"/>
        <w:rPr>
          <w:lang w:val="fr-FR"/>
        </w:rPr>
      </w:pPr>
      <w:r w:rsidRPr="00BC63E0">
        <w:rPr>
          <w:lang w:val="fr-FR"/>
        </w:rPr>
        <w:t>La performance de l’investisseur moyen</w:t>
      </w:r>
    </w:p>
    <w:p w14:paraId="6EFFAF32" w14:textId="77777777" w:rsidR="00C913A9" w:rsidRDefault="00000000">
      <w:pPr>
        <w:jc w:val="both"/>
        <w:rPr>
          <w:lang w:val="fr-FR"/>
        </w:rPr>
      </w:pPr>
      <w:r w:rsidRPr="00BC63E0">
        <w:rPr>
          <w:lang w:val="fr-FR"/>
        </w:rPr>
        <w:t>À titre de comparaison, la performance des fonds français de toutes catégories a été la suivante entre fin 2016 (indice 100) et fin 2024 (source : Les Echos) :</w:t>
      </w:r>
    </w:p>
    <w:p w14:paraId="14ED7D69" w14:textId="77777777" w:rsidR="00BC63E0" w:rsidRPr="00BC63E0" w:rsidRDefault="00BC63E0">
      <w:pPr>
        <w:jc w:val="both"/>
        <w:rPr>
          <w:lang w:val="fr-FR"/>
        </w:rPr>
      </w:pPr>
    </w:p>
    <w:p w14:paraId="61F109A6" w14:textId="77777777" w:rsidR="00C913A9" w:rsidRDefault="00000000">
      <w:pPr>
        <w:spacing w:after="200"/>
        <w:jc w:val="center"/>
      </w:pPr>
      <w:r>
        <w:rPr>
          <w:noProof/>
        </w:rPr>
        <w:drawing>
          <wp:inline distT="0" distB="0" distL="0" distR="0" wp14:anchorId="5B2313D2" wp14:editId="19DF9C68">
            <wp:extent cx="7246962" cy="30429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png"/>
                    <pic:cNvPicPr/>
                  </pic:nvPicPr>
                  <pic:blipFill>
                    <a:blip r:embed="rId18"/>
                    <a:stretch>
                      <a:fillRect/>
                    </a:stretch>
                  </pic:blipFill>
                  <pic:spPr>
                    <a:xfrm>
                      <a:off x="0" y="0"/>
                      <a:ext cx="7280790" cy="3057124"/>
                    </a:xfrm>
                    <a:prstGeom prst="rect">
                      <a:avLst/>
                    </a:prstGeom>
                  </pic:spPr>
                </pic:pic>
              </a:graphicData>
            </a:graphic>
          </wp:inline>
        </w:drawing>
      </w:r>
    </w:p>
    <w:p w14:paraId="34D5705F" w14:textId="77777777" w:rsidR="00BC63E0" w:rsidRDefault="00BC63E0">
      <w:pPr>
        <w:jc w:val="both"/>
        <w:rPr>
          <w:lang w:val="fr-FR"/>
        </w:rPr>
      </w:pPr>
    </w:p>
    <w:p w14:paraId="0F09A010" w14:textId="77777777" w:rsidR="002D1EDB" w:rsidRDefault="002D1EDB">
      <w:pPr>
        <w:jc w:val="both"/>
        <w:rPr>
          <w:lang w:val="fr-FR"/>
        </w:rPr>
      </w:pPr>
    </w:p>
    <w:p w14:paraId="7709DCC7" w14:textId="77777777" w:rsidR="002D1EDB" w:rsidRDefault="002D1EDB">
      <w:pPr>
        <w:jc w:val="both"/>
        <w:rPr>
          <w:lang w:val="fr-FR"/>
        </w:rPr>
      </w:pPr>
    </w:p>
    <w:p w14:paraId="333E0B57" w14:textId="77777777" w:rsidR="002D1EDB" w:rsidRDefault="002D1EDB">
      <w:pPr>
        <w:jc w:val="both"/>
        <w:rPr>
          <w:lang w:val="fr-FR"/>
        </w:rPr>
      </w:pPr>
    </w:p>
    <w:p w14:paraId="770C0223" w14:textId="75F0E02F" w:rsidR="00C913A9" w:rsidRPr="00BC63E0" w:rsidRDefault="00000000">
      <w:pPr>
        <w:jc w:val="both"/>
        <w:rPr>
          <w:lang w:val="fr-FR"/>
        </w:rPr>
      </w:pPr>
      <w:r w:rsidRPr="00BC63E0">
        <w:rPr>
          <w:lang w:val="fr-FR"/>
        </w:rPr>
        <w:t>En février 2026, mon estimation s’établit à 182 pour les fonds actions (158 fin 2024) et à 141 pour les contrats d’assurance-vie en unités de compte investis en actions. À titre de comparaison, entre fin 2017 et février 2026, mon portefeuille (tous actifs confondus) est passé de 100 à 502, tandis que la poche mines d’or est passée de 100 à un indice 830. Je ne peux pas promettre une performance aussi spectaculaire à l’avenir. Plus modestement, mon objectif est d’égaler, et si possible de battre, les grands indices (CAC 40, S&amp;P 500, MSCI World Index) et, en tout état de cause, de surperformer l’investisseur moyen (données disponibles sur le site de l’Observatoire de l’épargne OEE pour les investisseurs français ou européens et sur le site de référence DALBAR pour les investisseurs américains).</w:t>
      </w:r>
    </w:p>
    <w:p w14:paraId="1949330F" w14:textId="77777777" w:rsidR="00BC63E0" w:rsidRDefault="00BC63E0">
      <w:pPr>
        <w:jc w:val="both"/>
        <w:rPr>
          <w:lang w:val="fr-FR"/>
        </w:rPr>
      </w:pPr>
    </w:p>
    <w:p w14:paraId="22BAFAF1" w14:textId="7B44CBBE" w:rsidR="00C913A9" w:rsidRPr="00BC63E0" w:rsidRDefault="00000000">
      <w:pPr>
        <w:jc w:val="both"/>
        <w:rPr>
          <w:lang w:val="fr-FR"/>
        </w:rPr>
      </w:pPr>
      <w:r w:rsidRPr="00BC63E0">
        <w:rPr>
          <w:lang w:val="fr-FR"/>
        </w:rPr>
        <w:t>Je serai heureux de me mesurer à votre conseiller financier actuel, bien entendu en tenant compte de votre tolérance au risque et de votre profil. N’hésitez pas à me contacter.</w:t>
      </w:r>
    </w:p>
    <w:p w14:paraId="1B25B9B3" w14:textId="77777777" w:rsidR="00BC63E0" w:rsidRDefault="00BC63E0">
      <w:pPr>
        <w:rPr>
          <w:lang w:val="fr-FR"/>
        </w:rPr>
      </w:pPr>
    </w:p>
    <w:p w14:paraId="7A39BDB3" w14:textId="283883D1" w:rsidR="00C913A9" w:rsidRPr="00BC63E0" w:rsidRDefault="00000000">
      <w:pPr>
        <w:rPr>
          <w:lang w:val="fr-FR"/>
        </w:rPr>
      </w:pPr>
      <w:r w:rsidRPr="00BC63E0">
        <w:rPr>
          <w:lang w:val="fr-FR"/>
        </w:rPr>
        <w:t>Bien cordialement,</w:t>
      </w:r>
    </w:p>
    <w:p w14:paraId="142F672E" w14:textId="4C520576" w:rsidR="00C913A9" w:rsidRDefault="00000000">
      <w:pPr>
        <w:rPr>
          <w:lang w:val="fr-FR"/>
        </w:rPr>
      </w:pPr>
      <w:r w:rsidRPr="00BC63E0">
        <w:rPr>
          <w:lang w:val="fr-FR"/>
        </w:rPr>
        <w:t xml:space="preserve">Contact : </w:t>
      </w:r>
      <w:hyperlink r:id="rId19" w:history="1">
        <w:r w:rsidR="00BC63E0" w:rsidRPr="001362B9">
          <w:rPr>
            <w:rStyle w:val="Lienhypertexte"/>
            <w:lang w:val="fr-FR"/>
          </w:rPr>
          <w:t>candauje@gmail.com</w:t>
        </w:r>
      </w:hyperlink>
    </w:p>
    <w:p w14:paraId="385DCA2D" w14:textId="71B1C3EB" w:rsidR="00BC63E0" w:rsidRDefault="00BC63E0">
      <w:pPr>
        <w:rPr>
          <w:lang w:val="fr-FR"/>
        </w:rPr>
      </w:pPr>
      <w:r>
        <w:rPr>
          <w:lang w:val="fr-FR"/>
        </w:rPr>
        <w:tab/>
      </w:r>
      <w:hyperlink r:id="rId20" w:history="1">
        <w:r w:rsidRPr="001362B9">
          <w:rPr>
            <w:rStyle w:val="Lienhypertexte"/>
            <w:lang w:val="fr-FR"/>
          </w:rPr>
          <w:t>Candau100@outlook.fr</w:t>
        </w:r>
      </w:hyperlink>
    </w:p>
    <w:p w14:paraId="7995F998" w14:textId="77777777" w:rsidR="00C913A9" w:rsidRPr="00BC63E0" w:rsidRDefault="00000000">
      <w:pPr>
        <w:rPr>
          <w:lang w:val="fr-FR"/>
        </w:rPr>
      </w:pPr>
      <w:r w:rsidRPr="00BC63E0">
        <w:rPr>
          <w:lang w:val="fr-FR"/>
        </w:rPr>
        <w:t>Tél. : 0644996958</w:t>
      </w:r>
    </w:p>
    <w:p w14:paraId="2113F477" w14:textId="77777777" w:rsidR="00BC63E0" w:rsidRDefault="00BC63E0">
      <w:pPr>
        <w:rPr>
          <w:lang w:val="fr-FR"/>
        </w:rPr>
      </w:pPr>
    </w:p>
    <w:p w14:paraId="09952AAB" w14:textId="6FAB7E2A" w:rsidR="00C913A9" w:rsidRPr="00BC63E0" w:rsidRDefault="00000000">
      <w:pPr>
        <w:rPr>
          <w:lang w:val="fr-FR"/>
        </w:rPr>
      </w:pPr>
      <w:r w:rsidRPr="00BC63E0">
        <w:rPr>
          <w:lang w:val="fr-FR"/>
        </w:rPr>
        <w:t>CANDAU TILH Jean Paul</w:t>
      </w:r>
    </w:p>
    <w:p w14:paraId="3A928BB5" w14:textId="77777777" w:rsidR="00C913A9" w:rsidRPr="00BC63E0" w:rsidRDefault="00000000">
      <w:pPr>
        <w:rPr>
          <w:lang w:val="fr-FR"/>
        </w:rPr>
      </w:pPr>
      <w:r w:rsidRPr="00BC63E0">
        <w:rPr>
          <w:lang w:val="fr-FR"/>
        </w:rPr>
        <w:t>FRANCE</w:t>
      </w:r>
    </w:p>
    <w:sectPr w:rsidR="00C913A9" w:rsidRPr="00BC63E0" w:rsidSect="00034616">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852721093">
    <w:abstractNumId w:val="8"/>
  </w:num>
  <w:num w:numId="2" w16cid:durableId="646589380">
    <w:abstractNumId w:val="6"/>
  </w:num>
  <w:num w:numId="3" w16cid:durableId="1215700632">
    <w:abstractNumId w:val="5"/>
  </w:num>
  <w:num w:numId="4" w16cid:durableId="2002542949">
    <w:abstractNumId w:val="4"/>
  </w:num>
  <w:num w:numId="5" w16cid:durableId="731125590">
    <w:abstractNumId w:val="7"/>
  </w:num>
  <w:num w:numId="6" w16cid:durableId="2126848821">
    <w:abstractNumId w:val="3"/>
  </w:num>
  <w:num w:numId="7" w16cid:durableId="1247811333">
    <w:abstractNumId w:val="2"/>
  </w:num>
  <w:num w:numId="8" w16cid:durableId="1947082271">
    <w:abstractNumId w:val="1"/>
  </w:num>
  <w:num w:numId="9" w16cid:durableId="183175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1EDB"/>
    <w:rsid w:val="00326F90"/>
    <w:rsid w:val="00645F88"/>
    <w:rsid w:val="00654ED5"/>
    <w:rsid w:val="00AA1D8D"/>
    <w:rsid w:val="00B47730"/>
    <w:rsid w:val="00BC63E0"/>
    <w:rsid w:val="00C913A9"/>
    <w:rsid w:val="00CB0664"/>
    <w:rsid w:val="00EA5B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43998"/>
  <w14:defaultImageDpi w14:val="300"/>
  <w15:docId w15:val="{53FDF915-B148-44E5-8BF8-24313283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rPr>
  </w:style>
  <w:style w:type="paragraph" w:styleId="Titre1">
    <w:name w:val="heading 1"/>
    <w:basedOn w:val="Normal"/>
    <w:next w:val="Normal"/>
    <w:link w:val="Titre1C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rFonts w:asciiTheme="majorHAnsi" w:eastAsiaTheme="majorEastAsia" w:hAnsiTheme="majorHAnsi" w:cstheme="majorBidi"/>
      <w:b/>
      <w:bCs/>
      <w:color w:val="1F4E79"/>
      <w:sz w:val="25"/>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stomTitle">
    <w:name w:val="CustomTitle"/>
    <w:rPr>
      <w:rFonts w:ascii="Calibri" w:eastAsia="Calibri" w:hAnsi="Calibri"/>
      <w:b/>
      <w:color w:val="1F4E79"/>
      <w:sz w:val="36"/>
    </w:rPr>
  </w:style>
  <w:style w:type="paragraph" w:customStyle="1" w:styleId="CaptionFR">
    <w:name w:val="CaptionFR"/>
    <w:pPr>
      <w:spacing w:after="80"/>
    </w:pPr>
    <w:rPr>
      <w:rFonts w:ascii="Calibri" w:eastAsia="Calibri" w:hAnsi="Calibri"/>
      <w:i/>
      <w:color w:val="464646"/>
      <w:sz w:val="20"/>
    </w:rPr>
  </w:style>
  <w:style w:type="character" w:styleId="Lienhypertexte">
    <w:name w:val="Hyperlink"/>
    <w:basedOn w:val="Policepardfaut"/>
    <w:uiPriority w:val="99"/>
    <w:unhideWhenUsed/>
    <w:rsid w:val="00BC63E0"/>
    <w:rPr>
      <w:color w:val="0000FF" w:themeColor="hyperlink"/>
      <w:u w:val="single"/>
    </w:rPr>
  </w:style>
  <w:style w:type="character" w:styleId="Mentionnonrsolue">
    <w:name w:val="Unresolved Mention"/>
    <w:basedOn w:val="Policepardfaut"/>
    <w:uiPriority w:val="99"/>
    <w:semiHidden/>
    <w:unhideWhenUsed/>
    <w:rsid w:val="00BC6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mailto:Candau100@outlook.fr" TargetMode="External"/><Relationship Id="rId1" Type="http://schemas.openxmlformats.org/officeDocument/2006/relationships/customXml" Target="../customXml/item1.xml"/><Relationship Id="rId6" Type="http://schemas.openxmlformats.org/officeDocument/2006/relationships/hyperlink" Target="https://www.oee.fr/indice-de-performance-de-lepargne-financiere/"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yperlink" Target="mailto:candauje@gmai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989</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à long terme - éléments de preuve</dc:title>
  <dc:subject/>
  <dc:creator>OpenAI</dc:creator>
  <cp:keywords/>
  <dc:description>generated by python-docx</dc:description>
  <cp:lastModifiedBy>jean candau</cp:lastModifiedBy>
  <cp:revision>5</cp:revision>
  <dcterms:created xsi:type="dcterms:W3CDTF">2026-03-28T18:02:00Z</dcterms:created>
  <dcterms:modified xsi:type="dcterms:W3CDTF">2026-03-28T18:15:00Z</dcterms:modified>
  <cp:category/>
</cp:coreProperties>
</file>