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C3ECC" w14:textId="77777777" w:rsidR="009E5092" w:rsidRDefault="00000000">
      <w:pPr>
        <w:pStyle w:val="CustomTitle"/>
        <w:jc w:val="center"/>
      </w:pPr>
      <w:r>
        <w:t>MODÈLES ÉCONOMÉTRIQUES POUR LA SÉLECTION DE TITRES</w:t>
      </w:r>
    </w:p>
    <w:p w14:paraId="5271CD4F" w14:textId="77777777" w:rsidR="009E5092" w:rsidRDefault="00000000">
      <w:pPr>
        <w:jc w:val="both"/>
      </w:pPr>
      <w:r>
        <w:t>La théorie et les modèles économétriques peuvent être considérés comme des outils essentiels pour comprendre et tenter de prévoir les mouvements des cours boursiers. L’avantage de ces techniques par rapport aux autres modes de sélection de titres est qu’elles permettent d’analyser l’évolution des prix des actions de façon froide, cohérente et raisonnée. C’est une garantie de succès à moyen ou long terme. Nous avons appliqué ces techniques à différentes classes d’actifs : S&amp;P 500, Nasdaq, or et actions de mines d’or. L’objectif de ces procédures est d’obtenir une équation capable d’expliquer le comportement d’un actif (S&amp;P 500, actions minières, etc.), appelé variable indépendante, comme combinaison de variables dépendantes (taux d’intérêt, valeurs décalées du S&amp;P 500, etc.).</w:t>
      </w:r>
    </w:p>
    <w:p w14:paraId="72DE2830" w14:textId="77777777" w:rsidR="009E5092" w:rsidRDefault="00000000">
      <w:pPr>
        <w:jc w:val="center"/>
      </w:pPr>
      <w:r>
        <w:rPr>
          <w:b/>
        </w:rPr>
        <w:t>Prix de l’actif = b0 + b1V1 + b2V2 + ... + BnVn + résidus</w:t>
      </w:r>
    </w:p>
    <w:p w14:paraId="4FB8A722" w14:textId="77777777" w:rsidR="009E5092" w:rsidRDefault="00000000">
      <w:pPr>
        <w:jc w:val="both"/>
      </w:pPr>
      <w:r>
        <w:t>Les observations sont collectées sur des bases mensuelle, trimestrielle et annuelle. Le champ d’analyse est vaste, allant de 1966 à 2023 pour les modèles mensuels et trimestriels. Le modèle annuel couvre la période 1905-2023. Par conséquent, un très grand nombre de marchés haussiers et baissiers sont pris en compte, ce qui confère de la crédibilité aux meilleurs modèles.</w:t>
      </w:r>
    </w:p>
    <w:p w14:paraId="79F09A31" w14:textId="77777777" w:rsidR="009E5092" w:rsidRDefault="00000000">
      <w:pPr>
        <w:jc w:val="both"/>
      </w:pPr>
      <w:r>
        <w:t>L’intégration des techniques de machine learning et de deep learning a eu un impact significatif sur la précision et l’efficacité des modèles de valorisation d’actifs et des stratégies de gestion de portefeuille. Le machine learning, sous-ensemble de l’intelligence artificielle, est devenu un outil puissant pour améliorer la gestion de portefeuille et les stratégies d’allocation d’actifs. En s’appuyant sur des algorithmes avancés et des modèles statistiques, le machine learning permet aux investisseurs et aux gérants de prendre des décisions fondées sur les données, de mettre au jour des schémas cachés et d’optimiser la performance des portefeuilles (Shahbeyk &amp; Banihashemi, 2024).</w:t>
      </w:r>
    </w:p>
    <w:p w14:paraId="1E5837A6" w14:textId="77777777" w:rsidR="009E5092" w:rsidRDefault="00000000">
      <w:pPr>
        <w:jc w:val="both"/>
      </w:pPr>
      <w:r>
        <w:t>Jusqu’en 2023, j’utilisais le logiciel de traitement statistique NCSS pour élaborer et tester différents modèles statistiques. Depuis 2023, je m’appuie également sur la puissance de traitement de ChatGPT (option mode réflexion pour les analyses les plus poussées). La dernière version de ChatGPT, ChatGPT 5.1, lancée en novembre dernier, est très puissante en matière d’économétrie et de sélection des modèles les plus efficients. Je joins un exemple de modélisation du S&amp;P 500 ; il s’agit d’une périodicité annuelle que je complète par des modèles mensuels afin d’éclairer mes décisions (</w:t>
      </w:r>
      <w:hyperlink r:id="rId6">
        <w:r>
          <w:rPr>
            <w:color w:val="0563C1"/>
            <w:u w:val="single"/>
          </w:rPr>
          <w:t>cliquez ici</w:t>
        </w:r>
      </w:hyperlink>
      <w:r>
        <w:t>).</w:t>
      </w:r>
    </w:p>
    <w:p w14:paraId="395B99DF" w14:textId="77777777" w:rsidR="009E5092" w:rsidRDefault="00000000">
      <w:pPr>
        <w:pStyle w:val="Titre1"/>
      </w:pPr>
      <w:r>
        <w:t>Principes d’investissement et gestion de portefeuille</w:t>
      </w:r>
    </w:p>
    <w:p w14:paraId="0A2ACD31" w14:textId="77777777" w:rsidR="009E5092" w:rsidRDefault="00000000">
      <w:pPr>
        <w:jc w:val="both"/>
      </w:pPr>
      <w:r>
        <w:t>Les principes qui sous-tendent nos stratégies d’investissement et nos modèles économétriques reposent sur la lecture de nombreux documents relatifs à la formation des prix des actions, ainsi que sur la vérification empirique des différentes stratégies suggérées par ces théories. L’adoption de ces principes et de ces modèles nous a bien servis par le passé (performance très supérieure au marché) et devrait continuer à le faire à l’avenir. Cette conviction provient de la profondeur (grand nombre de phases haussières et baissières prises en compte) et de la stabilité de nos modèles mathématiques.</w:t>
      </w:r>
    </w:p>
    <w:p w14:paraId="270E87BA" w14:textId="77777777" w:rsidR="009E5092" w:rsidRDefault="00000000">
      <w:pPr>
        <w:jc w:val="both"/>
      </w:pPr>
      <w:r>
        <w:t>La théorie financière la plus convaincante, largement démontrée d’un point de vue empirique, est la théorie de la réversion à la moyenne à long terme.</w:t>
      </w:r>
    </w:p>
    <w:p w14:paraId="7379A383" w14:textId="77777777" w:rsidR="009E5092" w:rsidRDefault="00000000">
      <w:pPr>
        <w:jc w:val="both"/>
      </w:pPr>
      <w:r>
        <w:t xml:space="preserve">Cette théorie peut être illustrée par un document rédigé par Vitali Kalesnik, Ph.D ; </w:t>
      </w:r>
      <w:hyperlink r:id="rId7">
        <w:r>
          <w:rPr>
            <w:color w:val="0563C1"/>
            <w:u w:val="single"/>
          </w:rPr>
          <w:t>cliquez ici</w:t>
        </w:r>
      </w:hyperlink>
      <w:r>
        <w:t xml:space="preserve">. Il expose une approche de la gestion d’actions centrée sur les concepts d’actions « bruyantes » et d’actions à « réversion à la moyenne ». Les prix « bruyants » sont définis comme comportant des erreurs, le marché surévaluant ou </w:t>
      </w:r>
      <w:r>
        <w:lastRenderedPageBreak/>
        <w:t>sous-évaluant les titres, souvent en raison de l’action irrationnelle des noise traders. La réversion à la moyenne suggère que les cours des actions, à l’image d’un pendule, finissent par inverser leur direction et revenir vers leurs niveaux moyens après des mouvements extrêmes à la hausse ou à la baisse. Le texte passe en revue les preuves empiriques qui étayent cette théorie, en citant des études montrant la surperformance ultérieure des portefeuilles de perdants par rapport aux portefeuilles de gagnants, illustrant ainsi la réversion à la moyenne à long terme (voir l’étude classique sur la surréaction et la réversion à la moyenne publiée en 1985 par De Bondt et Thaler). Enfin, l’auteur explique comment les problèmes d’agence, formalisés par Shleifer et Vishny, permettent de comprendre pourquoi l’arbitrage ne corrige pas nécessairement rapidement les mauvaises valorisations (crainte de perdre des clients chez les gérants).</w:t>
      </w:r>
    </w:p>
    <w:p w14:paraId="1C82DA98" w14:textId="77777777" w:rsidR="009E5092" w:rsidRDefault="00000000">
      <w:pPr>
        <w:jc w:val="both"/>
      </w:pPr>
      <w:r>
        <w:t xml:space="preserve">J’inclus également une </w:t>
      </w:r>
      <w:hyperlink r:id="rId8">
        <w:r>
          <w:rPr>
            <w:color w:val="0563C1"/>
            <w:u w:val="single"/>
          </w:rPr>
          <w:t>présentation PowerPoint</w:t>
        </w:r>
      </w:hyperlink>
      <w:r>
        <w:t xml:space="preserve"> du concept de réversion à la moyenne (de préférence en mode diaporama).</w:t>
      </w:r>
    </w:p>
    <w:sectPr w:rsidR="009E5092" w:rsidSect="00034616">
      <w:pgSz w:w="12240" w:h="15840"/>
      <w:pgMar w:top="1152"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311182564">
    <w:abstractNumId w:val="8"/>
  </w:num>
  <w:num w:numId="2" w16cid:durableId="1960139632">
    <w:abstractNumId w:val="6"/>
  </w:num>
  <w:num w:numId="3" w16cid:durableId="96489379">
    <w:abstractNumId w:val="5"/>
  </w:num>
  <w:num w:numId="4" w16cid:durableId="114637099">
    <w:abstractNumId w:val="4"/>
  </w:num>
  <w:num w:numId="5" w16cid:durableId="777453859">
    <w:abstractNumId w:val="7"/>
  </w:num>
  <w:num w:numId="6" w16cid:durableId="723992040">
    <w:abstractNumId w:val="3"/>
  </w:num>
  <w:num w:numId="7" w16cid:durableId="725450218">
    <w:abstractNumId w:val="2"/>
  </w:num>
  <w:num w:numId="8" w16cid:durableId="1301231820">
    <w:abstractNumId w:val="1"/>
  </w:num>
  <w:num w:numId="9" w16cid:durableId="833640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proofState w:spelling="clean" w:grammar="clean"/>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353B"/>
    <w:rsid w:val="0029639D"/>
    <w:rsid w:val="00326F90"/>
    <w:rsid w:val="00645F88"/>
    <w:rsid w:val="009E509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A17A7D"/>
  <w14:defaultImageDpi w14:val="300"/>
  <w15:docId w15:val="{53FDF915-B148-44E5-8BF8-243132838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eastAsia="Calibri" w:hAnsi="Calibri"/>
    </w:rPr>
  </w:style>
  <w:style w:type="paragraph" w:styleId="Titre1">
    <w:name w:val="heading 1"/>
    <w:basedOn w:val="Normal"/>
    <w:next w:val="Normal"/>
    <w:link w:val="Titre1Car"/>
    <w:uiPriority w:val="9"/>
    <w:qFormat/>
    <w:rsid w:val="00FC693F"/>
    <w:pPr>
      <w:keepNext/>
      <w:keepLines/>
      <w:spacing w:before="240"/>
      <w:outlineLvl w:val="0"/>
    </w:pPr>
    <w:rPr>
      <w:rFonts w:asciiTheme="majorHAnsi" w:eastAsiaTheme="majorEastAsia" w:hAnsiTheme="majorHAnsi" w:cstheme="majorBidi"/>
      <w:b/>
      <w:bCs/>
      <w:color w:val="1F4E79"/>
      <w:sz w:val="28"/>
      <w:szCs w:val="28"/>
    </w:rPr>
  </w:style>
  <w:style w:type="paragraph" w:styleId="Titre2">
    <w:name w:val="heading 2"/>
    <w:basedOn w:val="Normal"/>
    <w:next w:val="Normal"/>
    <w:link w:val="Titre2Car"/>
    <w:uiPriority w:val="9"/>
    <w:unhideWhenUsed/>
    <w:qFormat/>
    <w:rsid w:val="00FC693F"/>
    <w:pPr>
      <w:keepNext/>
      <w:keepLines/>
      <w:spacing w:before="240"/>
      <w:outlineLvl w:val="1"/>
    </w:pPr>
    <w:rPr>
      <w:rFonts w:asciiTheme="majorHAnsi" w:eastAsiaTheme="majorEastAsia" w:hAnsiTheme="majorHAnsi" w:cstheme="majorBidi"/>
      <w:b/>
      <w:bCs/>
      <w:color w:val="1F4E79"/>
      <w:sz w:val="25"/>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ustomTitle">
    <w:name w:val="CustomTitle"/>
    <w:rPr>
      <w:rFonts w:ascii="Calibri" w:eastAsia="Calibri" w:hAnsi="Calibri"/>
      <w:b/>
      <w:color w:val="1F4E79"/>
      <w:sz w:val="36"/>
    </w:rPr>
  </w:style>
  <w:style w:type="paragraph" w:customStyle="1" w:styleId="CaptionFR">
    <w:name w:val="CaptionFR"/>
    <w:pPr>
      <w:spacing w:after="80"/>
    </w:pPr>
    <w:rPr>
      <w:rFonts w:ascii="Calibri" w:eastAsia="Calibri" w:hAnsi="Calibri"/>
      <w:i/>
      <w:color w:val="464646"/>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presentation/d/1T09TqhXdxkUSQtwUD_6OqiC29eMFDyQm/edit?slide=id.p1" TargetMode="External"/><Relationship Id="rId3" Type="http://schemas.openxmlformats.org/officeDocument/2006/relationships/styles" Target="styles.xml"/><Relationship Id="rId7" Type="http://schemas.openxmlformats.org/officeDocument/2006/relationships/hyperlink" Target="https://www.degruyterbrill.com/document/doi/10.1515/econ-2022-0108/html?srsltid=AfmBOopA5P8NfhjhmH4rUFlsjsqS1fO5P0N3CxpQhkGoOLVsRcrSxB4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rive.google.com/file/d/1leaMtgRfn689GLVb8BAUM0dHt830e46p/view?usp=sharin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787</Words>
  <Characters>4330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Principes d'investissement</dc:title>
  <dc:subject/>
  <dc:creator>OpenAI</dc:creator>
  <cp:keywords/>
  <dc:description>generated by python-docx</dc:description>
  <cp:lastModifiedBy>jean candau</cp:lastModifiedBy>
  <cp:revision>2</cp:revision>
  <dcterms:created xsi:type="dcterms:W3CDTF">2026-03-28T17:57:00Z</dcterms:created>
  <dcterms:modified xsi:type="dcterms:W3CDTF">2026-03-28T17:57:00Z</dcterms:modified>
  <cp:category/>
</cp:coreProperties>
</file>